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6" w:rsidRDefault="0090665C" w:rsidP="0090665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F70D2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 протоколу заседания Совета директоров </w:t>
      </w:r>
    </w:p>
    <w:p w:rsidR="0090665C" w:rsidRPr="0090665C" w:rsidRDefault="0090665C" w:rsidP="0090665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ПАО «НПО «Алмаз» от </w:t>
      </w:r>
      <w:r w:rsidR="00F70D2C">
        <w:rPr>
          <w:rFonts w:ascii="Times New Roman" w:hAnsi="Times New Roman"/>
          <w:sz w:val="24"/>
          <w:szCs w:val="24"/>
        </w:rPr>
        <w:t xml:space="preserve">18.07.2019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70D2C">
        <w:rPr>
          <w:rFonts w:ascii="Times New Roman" w:hAnsi="Times New Roman"/>
          <w:sz w:val="24"/>
          <w:szCs w:val="24"/>
        </w:rPr>
        <w:t>3</w:t>
      </w:r>
    </w:p>
    <w:p w:rsidR="00194126" w:rsidRDefault="00194126" w:rsidP="00194126">
      <w:pPr>
        <w:jc w:val="center"/>
        <w:rPr>
          <w:rFonts w:ascii="Times New Roman" w:hAnsi="Times New Roman"/>
          <w:sz w:val="28"/>
          <w:szCs w:val="28"/>
        </w:rPr>
      </w:pPr>
    </w:p>
    <w:p w:rsidR="00194126" w:rsidRDefault="00194126" w:rsidP="00194126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5D2A" wp14:editId="325DBD78">
                <wp:simplePos x="0" y="0"/>
                <wp:positionH relativeFrom="column">
                  <wp:posOffset>35560</wp:posOffset>
                </wp:positionH>
                <wp:positionV relativeFrom="paragraph">
                  <wp:posOffset>118110</wp:posOffset>
                </wp:positionV>
                <wp:extent cx="9629775" cy="3419475"/>
                <wp:effectExtent l="0" t="0" r="28575" b="28575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26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194126" w:rsidRPr="00F220BA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194126" w:rsidRPr="001F0360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94126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(Приложение №</w:t>
                            </w:r>
                            <w:r w:rsidR="00AF3F37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1 к Программе </w:t>
                            </w: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по отчуждению </w:t>
                            </w:r>
                            <w:proofErr w:type="gramEnd"/>
                          </w:p>
                          <w:p w:rsidR="00194126" w:rsidRPr="001F0360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194126" w:rsidRPr="001F0360" w:rsidRDefault="00D61308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D61308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ПАО «НПО «Алмаз»</w:t>
                            </w:r>
                            <w:r w:rsidR="00194126"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94126" w:rsidRPr="001F0360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2016 – 2020 гг.</w:t>
                            </w:r>
                            <w:r w:rsidR="00194126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)</w:t>
                            </w:r>
                            <w:proofErr w:type="gramEnd"/>
                          </w:p>
                          <w:p w:rsidR="00194126" w:rsidRPr="001F0360" w:rsidRDefault="00194126" w:rsidP="00194126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194126" w:rsidRPr="001F0360" w:rsidRDefault="00194126" w:rsidP="00194126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175D2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8pt;margin-top:9.3pt;width:758.2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" strokeweight=".5pt">
                <v:textbox>
                  <w:txbxContent>
                    <w:p w:rsidR="00194126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194126" w:rsidRPr="00F220BA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194126" w:rsidRPr="001F0360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194126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(Приложение №</w:t>
                      </w:r>
                      <w:r w:rsidR="00AF3F37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1 к Программе </w:t>
                      </w: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по отчуждению </w:t>
                      </w:r>
                    </w:p>
                    <w:p w:rsidR="00194126" w:rsidRPr="001F0360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194126" w:rsidRPr="001F0360" w:rsidRDefault="00D61308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 w:rsidRPr="00D61308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ПАО «НПО «Алмаз»</w:t>
                      </w:r>
                      <w:r w:rsidR="00194126"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 </w:t>
                      </w:r>
                      <w:r w:rsidR="00194126" w:rsidRPr="001F0360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2016 – 2020 гг.</w:t>
                      </w:r>
                      <w:r w:rsidR="00194126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)</w:t>
                      </w:r>
                    </w:p>
                    <w:p w:rsidR="00194126" w:rsidRPr="001F0360" w:rsidRDefault="00194126" w:rsidP="00194126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194126" w:rsidRPr="001F0360" w:rsidRDefault="00194126" w:rsidP="00194126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126" w:rsidRDefault="00194126" w:rsidP="00194126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194126" w:rsidRDefault="00194126" w:rsidP="00194126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BD35A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126" w:rsidRPr="0090665C" w:rsidRDefault="00194126" w:rsidP="00194126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194126" w:rsidRPr="00D46E49" w:rsidRDefault="00194126" w:rsidP="00194126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D46E49"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194126" w:rsidRPr="00C41D91" w:rsidRDefault="00194126" w:rsidP="00194126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194126" w:rsidRPr="00C41D91" w:rsidSect="00907E3E">
          <w:footerReference w:type="default" r:id="rId9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 w:rsidRPr="00D46E49">
        <w:rPr>
          <w:rFonts w:ascii="Times New Roman" w:hAnsi="Times New Roman"/>
          <w:b/>
          <w:noProof/>
          <w:sz w:val="36"/>
          <w:szCs w:val="36"/>
          <w:lang w:eastAsia="ru-RU"/>
        </w:rPr>
        <w:t>201</w:t>
      </w:r>
      <w:r w:rsidR="00DE67DF">
        <w:rPr>
          <w:rFonts w:ascii="Times New Roman" w:hAnsi="Times New Roman"/>
          <w:b/>
          <w:noProof/>
          <w:sz w:val="36"/>
          <w:szCs w:val="36"/>
          <w:lang w:eastAsia="ru-RU"/>
        </w:rPr>
        <w:t>9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693"/>
        <w:gridCol w:w="2126"/>
        <w:gridCol w:w="1559"/>
        <w:gridCol w:w="1984"/>
        <w:gridCol w:w="2835"/>
        <w:gridCol w:w="1985"/>
      </w:tblGrid>
      <w:tr w:rsidR="00CA4F68" w:rsidTr="00C9222B">
        <w:trPr>
          <w:trHeight w:val="471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Наименование н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профильного а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Адрес, средства идент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фикации непрофильн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Вид деятельности, к которой отн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сится непрофил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ный актив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Балансовая стоимость актива,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br/>
              <w:t>тыс. 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Планируемый способ реализ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ции  непрофил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ного актива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Описание, сведения о правоустанавливающих документах и обремен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68" w:rsidRPr="00707691" w:rsidRDefault="00CA4F68" w:rsidP="002B6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7691">
              <w:rPr>
                <w:rFonts w:ascii="Times New Roman" w:hAnsi="Times New Roman"/>
                <w:b/>
                <w:bCs/>
                <w:lang w:eastAsia="ru-RU"/>
              </w:rPr>
              <w:t>Плановый срок реализации</w:t>
            </w:r>
          </w:p>
        </w:tc>
      </w:tr>
      <w:tr w:rsidR="00CA4F68" w:rsidTr="00C9222B">
        <w:trPr>
          <w:trHeight w:val="4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а00336517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а0036515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5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а0036512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а0040368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МС-71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Климатическая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мера PSL-4E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а0040374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Климатическая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мера PSL-4E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а0040369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Климатическая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мера PR-3E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а0040375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Климатическая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мера PR-3E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а004</w:t>
            </w:r>
            <w:r w:rsidR="00210217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вибрац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онная ST-80/3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Центрифуга Ц-100/20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9D6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становка вибрац</w:t>
            </w:r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онная «</w:t>
            </w:r>
            <w:proofErr w:type="spellStart"/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Лозенга</w:t>
            </w:r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зен</w:t>
            </w:r>
            <w:proofErr w:type="spellEnd"/>
            <w:r w:rsidR="00CA4F6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Качающийся стол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Скорсби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MUC72CVUC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х987191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CA4F68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Камера тепла и 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лода MUC72CVUC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х987192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F68" w:rsidRDefault="00CA4F68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8" w:rsidRDefault="00CA4F68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Базовые испытания и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68" w:rsidRDefault="00CA4F68">
            <w:r w:rsidRPr="005F676A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 г.</w:t>
            </w:r>
          </w:p>
        </w:tc>
      </w:tr>
      <w:tr w:rsidR="0065035D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D" w:rsidRPr="00707691" w:rsidRDefault="0065035D" w:rsidP="002824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ЗАО «Альтаир-1»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D" w:rsidRPr="00707691" w:rsidRDefault="0065035D" w:rsidP="00CA4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Москва,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Авиам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торная, д.</w:t>
            </w:r>
            <w:r w:rsidR="00E43D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D" w:rsidRPr="00C6174C" w:rsidRDefault="0065035D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Научно-исследовательские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D" w:rsidRPr="00707691" w:rsidRDefault="0065035D" w:rsidP="00CA4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35D" w:rsidRPr="00C6174C" w:rsidRDefault="0065035D" w:rsidP="00CA4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5D" w:rsidRPr="00C6174C" w:rsidRDefault="0065035D" w:rsidP="00DB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доли 25% 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уставного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D" w:rsidRPr="00707691" w:rsidRDefault="0065035D" w:rsidP="002824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122F62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62" w:rsidRPr="00C6174C" w:rsidRDefault="00122F62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Акции ОАО «НИИ «</w:t>
            </w:r>
            <w:proofErr w:type="spellStart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Элпа</w:t>
            </w:r>
            <w:proofErr w:type="spellEnd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» с опытным производством</w:t>
            </w:r>
          </w:p>
          <w:p w:rsidR="00122F62" w:rsidRDefault="00122F62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62" w:rsidRPr="00C6174C" w:rsidRDefault="00122F62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124460, г. Москва, г. З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леноград, Панфиловский проспект, 10</w:t>
            </w:r>
          </w:p>
          <w:p w:rsidR="00122F62" w:rsidRPr="00707691" w:rsidRDefault="00122F62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62" w:rsidRPr="00C6174C" w:rsidRDefault="00122F62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разработка, прои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водство электро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ной техники, пр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боров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62" w:rsidRPr="00C6174C" w:rsidRDefault="00122F62" w:rsidP="00B704CC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99 998,62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62" w:rsidRPr="00C6174C" w:rsidRDefault="00122F62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62" w:rsidRPr="00112FDA" w:rsidRDefault="00773CFB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122F62" w:rsidRPr="00112FDA">
              <w:rPr>
                <w:rFonts w:ascii="Times New Roman" w:eastAsia="Times New Roman" w:hAnsi="Times New Roman"/>
                <w:color w:val="000000"/>
                <w:lang w:eastAsia="ru-RU"/>
              </w:rPr>
              <w:t>азмер доли 20% уставного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39" w:rsidRDefault="001D2839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22F62" w:rsidRPr="00707691" w:rsidRDefault="00122F62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F7156A" w:rsidTr="002A13F0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8F5F96" w:rsidRDefault="00F7156A" w:rsidP="008B5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 уставном капитале </w:t>
            </w:r>
          </w:p>
          <w:p w:rsidR="00F7156A" w:rsidRPr="008F5F96" w:rsidRDefault="00F7156A" w:rsidP="008B5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«ЛОЦ № 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773CFB" w:rsidRDefault="00F7156A" w:rsidP="008B5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Москва,</w:t>
            </w:r>
          </w:p>
          <w:p w:rsidR="00F7156A" w:rsidRPr="00707691" w:rsidRDefault="00F7156A" w:rsidP="008B5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Габричевского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5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707691" w:rsidRDefault="00F7156A" w:rsidP="008B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производственный</w:t>
            </w:r>
            <w:r w:rsidRPr="007076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707691" w:rsidRDefault="00F7156A" w:rsidP="008B51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14 40</w:t>
            </w:r>
            <w:r w:rsidRPr="00646F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707691" w:rsidRDefault="00F7156A" w:rsidP="008B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707691" w:rsidRDefault="00F7156A" w:rsidP="00DB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7691">
              <w:rPr>
                <w:rFonts w:ascii="Times New Roman" w:eastAsia="Times New Roman" w:hAnsi="Times New Roman"/>
                <w:lang w:eastAsia="ru-RU"/>
              </w:rPr>
              <w:t xml:space="preserve">Размер доли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707691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r w:rsidRPr="00707691">
              <w:rPr>
                <w:rFonts w:ascii="Times New Roman" w:eastAsia="Times New Roman" w:hAnsi="Times New Roman"/>
                <w:lang w:eastAsia="ru-RU"/>
              </w:rPr>
              <w:br/>
              <w:t>уставного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707691" w:rsidRDefault="00F7156A" w:rsidP="008B5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B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</w:t>
            </w:r>
            <w:r w:rsidRPr="00DB2BE1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F7156A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</w:t>
            </w:r>
            <w:proofErr w:type="gramStart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оздоровительный комплекс</w:t>
            </w:r>
          </w:p>
          <w:p w:rsidR="00F7156A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г. Москва, ш. Энтузи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стов, вл. 33, стр.12</w:t>
            </w:r>
          </w:p>
          <w:p w:rsidR="00F7156A" w:rsidRPr="00707691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428,66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112FDA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29.08.2011 </w:t>
            </w:r>
            <w:r w:rsidRPr="00112F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12FDA">
              <w:rPr>
                <w:rFonts w:ascii="Times New Roman" w:eastAsia="Times New Roman" w:hAnsi="Times New Roman"/>
                <w:color w:val="000000"/>
                <w:lang w:eastAsia="ru-RU"/>
              </w:rPr>
              <w:t>77-77-22/062/2012239 (+6 зданий и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156A" w:rsidRPr="00122F62" w:rsidRDefault="00F7156A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квартал 2018 г.</w:t>
            </w:r>
          </w:p>
        </w:tc>
      </w:tr>
      <w:tr w:rsidR="00F7156A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ЛОК «Лесные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поляны»</w:t>
            </w:r>
          </w:p>
          <w:p w:rsidR="00F7156A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Ще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ковский р-н, д. </w:t>
            </w:r>
            <w:proofErr w:type="spellStart"/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Щевелк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но</w:t>
            </w:r>
            <w:proofErr w:type="spellEnd"/>
          </w:p>
          <w:p w:rsidR="00F7156A" w:rsidRPr="00707691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236 946,67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C6174C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174C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112FDA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18.03.2004 </w:t>
            </w:r>
            <w:r w:rsidRPr="00112F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12FDA">
              <w:rPr>
                <w:rFonts w:ascii="Times New Roman" w:eastAsia="Times New Roman" w:hAnsi="Times New Roman"/>
                <w:color w:val="000000"/>
                <w:lang w:eastAsia="ru-RU"/>
              </w:rPr>
              <w:t>50-01/14-06/2004308 (+ 15 зданий и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156A" w:rsidRPr="001D2839" w:rsidRDefault="00F7156A" w:rsidP="00D621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квартал 2018 г.</w:t>
            </w:r>
          </w:p>
        </w:tc>
      </w:tr>
      <w:tr w:rsidR="00F7156A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38774D" w:rsidRDefault="00F7156A" w:rsidP="00E43D36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обл., г.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Хи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ки,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Рабочая, д.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2а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площадь 1240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B704CC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BD56CB" w:rsidRDefault="00F7156A" w:rsidP="00B704CC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06.07.2012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50-5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-10/052/2012-03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F7156A" w:rsidRPr="00BD56CB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№ 50:10:0010302:194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003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156A" w:rsidRPr="00707691" w:rsidRDefault="00F7156A" w:rsidP="00003F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квартал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F7156A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B704C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E43D36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обл., 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Хи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ки,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Рабочая, д.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2а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площадь 139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6142D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6142D0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BD56CB" w:rsidRDefault="00F7156A" w:rsidP="006142D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06.07.2012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50-5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-10/052/2012-035 </w:t>
            </w:r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кад</w:t>
            </w:r>
            <w:proofErr w:type="spellEnd"/>
            <w:r w:rsidRPr="00BD56CB">
              <w:rPr>
                <w:rFonts w:ascii="Times New Roman" w:eastAsia="Times New Roman" w:hAnsi="Times New Roman"/>
                <w:color w:val="000000"/>
                <w:lang w:eastAsia="ru-RU"/>
              </w:rPr>
              <w:t>. № 50:10:0010302:196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6A" w:rsidRDefault="00F7156A" w:rsidP="0061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7156A" w:rsidRPr="00707691" w:rsidRDefault="00F7156A" w:rsidP="0061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квартал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0769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F7156A" w:rsidTr="00C9222B">
        <w:trPr>
          <w:trHeight w:val="6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B53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</w:t>
            </w:r>
          </w:p>
          <w:p w:rsidR="00F7156A" w:rsidRPr="00BD56CB" w:rsidRDefault="00F7156A" w:rsidP="00B53B7C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УАЗ-31514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Pr="00BD56CB" w:rsidRDefault="00F7156A" w:rsidP="00E43D36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6142D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53B7C">
              <w:rPr>
                <w:rFonts w:ascii="Times New Roman" w:eastAsia="Times New Roman" w:hAnsi="Times New Roman"/>
                <w:color w:val="000000"/>
                <w:lang w:eastAsia="ru-RU"/>
              </w:rPr>
              <w:t>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6142D0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56A" w:rsidRPr="00BD56CB" w:rsidRDefault="00F7156A" w:rsidP="006142D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DB4FA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Автомобили легковые среднего класса для 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жебного и индивидуальн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6A" w:rsidRDefault="00F7156A" w:rsidP="00AF3F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2019 г.</w:t>
            </w:r>
          </w:p>
        </w:tc>
      </w:tr>
    </w:tbl>
    <w:p w:rsidR="00CA4F68" w:rsidRPr="0049590D" w:rsidRDefault="00CA4F68"/>
    <w:sectPr w:rsidR="00CA4F68" w:rsidRPr="0049590D" w:rsidSect="00C9222B">
      <w:headerReference w:type="default" r:id="rId10"/>
      <w:footerReference w:type="default" r:id="rId11"/>
      <w:pgSz w:w="16838" w:h="11906" w:orient="landscape"/>
      <w:pgMar w:top="567" w:right="678" w:bottom="851" w:left="1134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5C" w:rsidRDefault="0081525C" w:rsidP="006F5D64">
      <w:pPr>
        <w:spacing w:after="0" w:line="240" w:lineRule="auto"/>
      </w:pPr>
      <w:r>
        <w:separator/>
      </w:r>
    </w:p>
  </w:endnote>
  <w:endnote w:type="continuationSeparator" w:id="0">
    <w:p w:rsidR="0081525C" w:rsidRDefault="0081525C" w:rsidP="006F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6" w:rsidRDefault="00194126">
    <w:pPr>
      <w:pStyle w:val="a7"/>
      <w:jc w:val="right"/>
    </w:pPr>
  </w:p>
  <w:p w:rsidR="00194126" w:rsidRDefault="001941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7" w:rsidRDefault="00C46C17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F017DAB" wp14:editId="173EBC73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252C10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6B7A90">
      <w:rPr>
        <w:noProof/>
      </w:rPr>
      <w:t>2</w:t>
    </w:r>
    <w:r>
      <w:rPr>
        <w:noProof/>
      </w:rPr>
      <w:fldChar w:fldCharType="end"/>
    </w:r>
  </w:p>
  <w:p w:rsidR="00C46C17" w:rsidRDefault="00C46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5C" w:rsidRDefault="0081525C" w:rsidP="006F5D64">
      <w:pPr>
        <w:spacing w:after="0" w:line="240" w:lineRule="auto"/>
      </w:pPr>
      <w:r>
        <w:separator/>
      </w:r>
    </w:p>
  </w:footnote>
  <w:footnote w:type="continuationSeparator" w:id="0">
    <w:p w:rsidR="0081525C" w:rsidRDefault="0081525C" w:rsidP="006F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7" w:rsidRPr="006F5D64" w:rsidRDefault="00C46C17" w:rsidP="006F5D64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23B9325" wp14:editId="1288A3D2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C283BB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2"/>
    <w:rsid w:val="000064F4"/>
    <w:rsid w:val="00037C1B"/>
    <w:rsid w:val="00040F65"/>
    <w:rsid w:val="000462EE"/>
    <w:rsid w:val="000664F6"/>
    <w:rsid w:val="000B58FF"/>
    <w:rsid w:val="000C02E6"/>
    <w:rsid w:val="000C33CD"/>
    <w:rsid w:val="000C37B6"/>
    <w:rsid w:val="000E11F2"/>
    <w:rsid w:val="000E58D8"/>
    <w:rsid w:val="000F1C5D"/>
    <w:rsid w:val="000F37F8"/>
    <w:rsid w:val="00103B38"/>
    <w:rsid w:val="00112F5B"/>
    <w:rsid w:val="00112FDA"/>
    <w:rsid w:val="00114344"/>
    <w:rsid w:val="00122F62"/>
    <w:rsid w:val="00134D4D"/>
    <w:rsid w:val="00146EC9"/>
    <w:rsid w:val="00151409"/>
    <w:rsid w:val="0015697D"/>
    <w:rsid w:val="001639CA"/>
    <w:rsid w:val="001660AE"/>
    <w:rsid w:val="00172B05"/>
    <w:rsid w:val="0017796C"/>
    <w:rsid w:val="00182282"/>
    <w:rsid w:val="00187B56"/>
    <w:rsid w:val="0019061A"/>
    <w:rsid w:val="001929C8"/>
    <w:rsid w:val="00194126"/>
    <w:rsid w:val="001A51CE"/>
    <w:rsid w:val="001A5A5E"/>
    <w:rsid w:val="001A5B06"/>
    <w:rsid w:val="001A7CFC"/>
    <w:rsid w:val="001B17F3"/>
    <w:rsid w:val="001C42DC"/>
    <w:rsid w:val="001D2839"/>
    <w:rsid w:val="001D75BC"/>
    <w:rsid w:val="001F0360"/>
    <w:rsid w:val="001F27C6"/>
    <w:rsid w:val="00210217"/>
    <w:rsid w:val="002202D3"/>
    <w:rsid w:val="00244A87"/>
    <w:rsid w:val="00246335"/>
    <w:rsid w:val="00255A41"/>
    <w:rsid w:val="00261BED"/>
    <w:rsid w:val="002743AB"/>
    <w:rsid w:val="002830C6"/>
    <w:rsid w:val="00290AB7"/>
    <w:rsid w:val="002A35AB"/>
    <w:rsid w:val="002A7AB9"/>
    <w:rsid w:val="002C4501"/>
    <w:rsid w:val="002C7AEC"/>
    <w:rsid w:val="002D098B"/>
    <w:rsid w:val="002D70B6"/>
    <w:rsid w:val="002E26AD"/>
    <w:rsid w:val="002E45B6"/>
    <w:rsid w:val="002E79A1"/>
    <w:rsid w:val="00303742"/>
    <w:rsid w:val="00306BCC"/>
    <w:rsid w:val="003250D1"/>
    <w:rsid w:val="003342A4"/>
    <w:rsid w:val="003357C8"/>
    <w:rsid w:val="00342569"/>
    <w:rsid w:val="00342A76"/>
    <w:rsid w:val="00343BD2"/>
    <w:rsid w:val="00344C04"/>
    <w:rsid w:val="00345E07"/>
    <w:rsid w:val="00347777"/>
    <w:rsid w:val="003518BC"/>
    <w:rsid w:val="00366197"/>
    <w:rsid w:val="003661F6"/>
    <w:rsid w:val="00386C4A"/>
    <w:rsid w:val="0038774D"/>
    <w:rsid w:val="0039231C"/>
    <w:rsid w:val="003954D8"/>
    <w:rsid w:val="003A7357"/>
    <w:rsid w:val="003D438C"/>
    <w:rsid w:val="003E350C"/>
    <w:rsid w:val="003F63F7"/>
    <w:rsid w:val="00407FFC"/>
    <w:rsid w:val="004168A2"/>
    <w:rsid w:val="00420E4B"/>
    <w:rsid w:val="004212CB"/>
    <w:rsid w:val="00421F5F"/>
    <w:rsid w:val="0043125E"/>
    <w:rsid w:val="00441B00"/>
    <w:rsid w:val="004477B2"/>
    <w:rsid w:val="004563C4"/>
    <w:rsid w:val="004601D6"/>
    <w:rsid w:val="004713BB"/>
    <w:rsid w:val="00492A2D"/>
    <w:rsid w:val="00494CA0"/>
    <w:rsid w:val="0049590D"/>
    <w:rsid w:val="004A31BE"/>
    <w:rsid w:val="004B699E"/>
    <w:rsid w:val="004C07FA"/>
    <w:rsid w:val="004C3E91"/>
    <w:rsid w:val="004E2221"/>
    <w:rsid w:val="004E618C"/>
    <w:rsid w:val="004F7CC9"/>
    <w:rsid w:val="00527169"/>
    <w:rsid w:val="00534C4A"/>
    <w:rsid w:val="005350A4"/>
    <w:rsid w:val="00536235"/>
    <w:rsid w:val="005439C8"/>
    <w:rsid w:val="0054661D"/>
    <w:rsid w:val="00551B45"/>
    <w:rsid w:val="00552FF7"/>
    <w:rsid w:val="00573473"/>
    <w:rsid w:val="00574A7D"/>
    <w:rsid w:val="0058007C"/>
    <w:rsid w:val="00580E8D"/>
    <w:rsid w:val="005A057E"/>
    <w:rsid w:val="005A3E1A"/>
    <w:rsid w:val="005B2F69"/>
    <w:rsid w:val="005B63CC"/>
    <w:rsid w:val="005C0454"/>
    <w:rsid w:val="005C4EE6"/>
    <w:rsid w:val="005D077D"/>
    <w:rsid w:val="005E281D"/>
    <w:rsid w:val="005E54C7"/>
    <w:rsid w:val="005E79B5"/>
    <w:rsid w:val="00623361"/>
    <w:rsid w:val="006368AF"/>
    <w:rsid w:val="00645C5B"/>
    <w:rsid w:val="0065035D"/>
    <w:rsid w:val="006503D7"/>
    <w:rsid w:val="0065093E"/>
    <w:rsid w:val="006552A6"/>
    <w:rsid w:val="00670973"/>
    <w:rsid w:val="00680FEA"/>
    <w:rsid w:val="00694B83"/>
    <w:rsid w:val="006A4959"/>
    <w:rsid w:val="006B1B65"/>
    <w:rsid w:val="006B7A90"/>
    <w:rsid w:val="006C67B9"/>
    <w:rsid w:val="006E6DCA"/>
    <w:rsid w:val="006F06C8"/>
    <w:rsid w:val="006F3CE2"/>
    <w:rsid w:val="006F5887"/>
    <w:rsid w:val="006F5D64"/>
    <w:rsid w:val="00707691"/>
    <w:rsid w:val="007106EE"/>
    <w:rsid w:val="0071586A"/>
    <w:rsid w:val="0071653A"/>
    <w:rsid w:val="007369FA"/>
    <w:rsid w:val="00752ACB"/>
    <w:rsid w:val="00754521"/>
    <w:rsid w:val="00773CFB"/>
    <w:rsid w:val="00776C99"/>
    <w:rsid w:val="007805BA"/>
    <w:rsid w:val="00783BC7"/>
    <w:rsid w:val="00793F61"/>
    <w:rsid w:val="00794033"/>
    <w:rsid w:val="00794724"/>
    <w:rsid w:val="007A31B0"/>
    <w:rsid w:val="007B457C"/>
    <w:rsid w:val="007B5718"/>
    <w:rsid w:val="007B6F4F"/>
    <w:rsid w:val="007C09E9"/>
    <w:rsid w:val="007C1F0A"/>
    <w:rsid w:val="007C7696"/>
    <w:rsid w:val="007E085A"/>
    <w:rsid w:val="007E347D"/>
    <w:rsid w:val="007E3E1A"/>
    <w:rsid w:val="007E5DE3"/>
    <w:rsid w:val="007F5971"/>
    <w:rsid w:val="007F6294"/>
    <w:rsid w:val="008002D2"/>
    <w:rsid w:val="00801B1E"/>
    <w:rsid w:val="0081525C"/>
    <w:rsid w:val="00826E6C"/>
    <w:rsid w:val="00832EED"/>
    <w:rsid w:val="00835409"/>
    <w:rsid w:val="008405D5"/>
    <w:rsid w:val="00843B29"/>
    <w:rsid w:val="00847A07"/>
    <w:rsid w:val="00847F0F"/>
    <w:rsid w:val="0087440F"/>
    <w:rsid w:val="00881E05"/>
    <w:rsid w:val="008A4A23"/>
    <w:rsid w:val="008B2AAE"/>
    <w:rsid w:val="008E3444"/>
    <w:rsid w:val="008E6D53"/>
    <w:rsid w:val="0090665C"/>
    <w:rsid w:val="00907E3E"/>
    <w:rsid w:val="00913E0F"/>
    <w:rsid w:val="009233ED"/>
    <w:rsid w:val="00924BBD"/>
    <w:rsid w:val="00926345"/>
    <w:rsid w:val="0093461E"/>
    <w:rsid w:val="009441DE"/>
    <w:rsid w:val="00954B1F"/>
    <w:rsid w:val="00955134"/>
    <w:rsid w:val="00955536"/>
    <w:rsid w:val="00956E4E"/>
    <w:rsid w:val="00957532"/>
    <w:rsid w:val="00960BC5"/>
    <w:rsid w:val="00965CC9"/>
    <w:rsid w:val="009773D2"/>
    <w:rsid w:val="00986186"/>
    <w:rsid w:val="0098670A"/>
    <w:rsid w:val="00990C17"/>
    <w:rsid w:val="00994E83"/>
    <w:rsid w:val="009A60A2"/>
    <w:rsid w:val="009B1310"/>
    <w:rsid w:val="009C32AB"/>
    <w:rsid w:val="009D0E7F"/>
    <w:rsid w:val="009D6524"/>
    <w:rsid w:val="009E5959"/>
    <w:rsid w:val="00A03A0E"/>
    <w:rsid w:val="00A057C7"/>
    <w:rsid w:val="00A06533"/>
    <w:rsid w:val="00A0670D"/>
    <w:rsid w:val="00A104F7"/>
    <w:rsid w:val="00A1736E"/>
    <w:rsid w:val="00A22B4E"/>
    <w:rsid w:val="00A24923"/>
    <w:rsid w:val="00A24F3F"/>
    <w:rsid w:val="00A373E2"/>
    <w:rsid w:val="00A37712"/>
    <w:rsid w:val="00A633AD"/>
    <w:rsid w:val="00A63EB5"/>
    <w:rsid w:val="00A65491"/>
    <w:rsid w:val="00A726CB"/>
    <w:rsid w:val="00A75341"/>
    <w:rsid w:val="00A8253E"/>
    <w:rsid w:val="00A83113"/>
    <w:rsid w:val="00A860D1"/>
    <w:rsid w:val="00A94508"/>
    <w:rsid w:val="00A94510"/>
    <w:rsid w:val="00AA704B"/>
    <w:rsid w:val="00AB2D77"/>
    <w:rsid w:val="00AB4F81"/>
    <w:rsid w:val="00AB60A9"/>
    <w:rsid w:val="00AC7F0F"/>
    <w:rsid w:val="00AD093E"/>
    <w:rsid w:val="00AE2C84"/>
    <w:rsid w:val="00AF01BA"/>
    <w:rsid w:val="00AF3F37"/>
    <w:rsid w:val="00B01497"/>
    <w:rsid w:val="00B059AD"/>
    <w:rsid w:val="00B10255"/>
    <w:rsid w:val="00B220BA"/>
    <w:rsid w:val="00B2711A"/>
    <w:rsid w:val="00B343A5"/>
    <w:rsid w:val="00B515C0"/>
    <w:rsid w:val="00B517E6"/>
    <w:rsid w:val="00B53B7C"/>
    <w:rsid w:val="00B63ACD"/>
    <w:rsid w:val="00B64E43"/>
    <w:rsid w:val="00B704CC"/>
    <w:rsid w:val="00B81E03"/>
    <w:rsid w:val="00B932FB"/>
    <w:rsid w:val="00BA4883"/>
    <w:rsid w:val="00BB6863"/>
    <w:rsid w:val="00BD168F"/>
    <w:rsid w:val="00BD35A4"/>
    <w:rsid w:val="00BD56CB"/>
    <w:rsid w:val="00BE1169"/>
    <w:rsid w:val="00C1065F"/>
    <w:rsid w:val="00C221B9"/>
    <w:rsid w:val="00C2668F"/>
    <w:rsid w:val="00C3366F"/>
    <w:rsid w:val="00C41D91"/>
    <w:rsid w:val="00C46C17"/>
    <w:rsid w:val="00C5621E"/>
    <w:rsid w:val="00C5639F"/>
    <w:rsid w:val="00C6174C"/>
    <w:rsid w:val="00C73563"/>
    <w:rsid w:val="00C861AD"/>
    <w:rsid w:val="00C9222B"/>
    <w:rsid w:val="00CA2415"/>
    <w:rsid w:val="00CA429B"/>
    <w:rsid w:val="00CA4F68"/>
    <w:rsid w:val="00CB5573"/>
    <w:rsid w:val="00CB6AE6"/>
    <w:rsid w:val="00CC0870"/>
    <w:rsid w:val="00CC1FE4"/>
    <w:rsid w:val="00CC4521"/>
    <w:rsid w:val="00CD0AA1"/>
    <w:rsid w:val="00CD3204"/>
    <w:rsid w:val="00CD419D"/>
    <w:rsid w:val="00CE34BE"/>
    <w:rsid w:val="00CE3BA1"/>
    <w:rsid w:val="00CE6052"/>
    <w:rsid w:val="00D009A2"/>
    <w:rsid w:val="00D15763"/>
    <w:rsid w:val="00D16E28"/>
    <w:rsid w:val="00D21212"/>
    <w:rsid w:val="00D25CD6"/>
    <w:rsid w:val="00D27204"/>
    <w:rsid w:val="00D36D6A"/>
    <w:rsid w:val="00D43586"/>
    <w:rsid w:val="00D4511D"/>
    <w:rsid w:val="00D46E17"/>
    <w:rsid w:val="00D46E49"/>
    <w:rsid w:val="00D54939"/>
    <w:rsid w:val="00D60D8C"/>
    <w:rsid w:val="00D61308"/>
    <w:rsid w:val="00D80BC3"/>
    <w:rsid w:val="00D95B13"/>
    <w:rsid w:val="00DA219D"/>
    <w:rsid w:val="00DA4FED"/>
    <w:rsid w:val="00DB2BE1"/>
    <w:rsid w:val="00DB41EB"/>
    <w:rsid w:val="00DB4FA2"/>
    <w:rsid w:val="00DC0070"/>
    <w:rsid w:val="00DD4066"/>
    <w:rsid w:val="00DE4584"/>
    <w:rsid w:val="00DE67DF"/>
    <w:rsid w:val="00DE7EE1"/>
    <w:rsid w:val="00DF1A80"/>
    <w:rsid w:val="00DF5203"/>
    <w:rsid w:val="00E1569A"/>
    <w:rsid w:val="00E3090F"/>
    <w:rsid w:val="00E3353C"/>
    <w:rsid w:val="00E3425A"/>
    <w:rsid w:val="00E410EC"/>
    <w:rsid w:val="00E43D36"/>
    <w:rsid w:val="00E44818"/>
    <w:rsid w:val="00E55EA4"/>
    <w:rsid w:val="00E64C63"/>
    <w:rsid w:val="00E6730E"/>
    <w:rsid w:val="00E777A8"/>
    <w:rsid w:val="00E9094A"/>
    <w:rsid w:val="00E92930"/>
    <w:rsid w:val="00EB3D33"/>
    <w:rsid w:val="00ED3342"/>
    <w:rsid w:val="00ED4A2C"/>
    <w:rsid w:val="00ED7620"/>
    <w:rsid w:val="00EF0390"/>
    <w:rsid w:val="00EF4838"/>
    <w:rsid w:val="00EF59C6"/>
    <w:rsid w:val="00F171B7"/>
    <w:rsid w:val="00F220BA"/>
    <w:rsid w:val="00F342B6"/>
    <w:rsid w:val="00F3450F"/>
    <w:rsid w:val="00F507FB"/>
    <w:rsid w:val="00F51918"/>
    <w:rsid w:val="00F60939"/>
    <w:rsid w:val="00F62B49"/>
    <w:rsid w:val="00F645AF"/>
    <w:rsid w:val="00F70D2C"/>
    <w:rsid w:val="00F7156A"/>
    <w:rsid w:val="00F73CAB"/>
    <w:rsid w:val="00F92248"/>
    <w:rsid w:val="00FA7B93"/>
    <w:rsid w:val="00FE3D5F"/>
    <w:rsid w:val="00FE612D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D64"/>
    <w:rPr>
      <w:rFonts w:cs="Times New Roman"/>
    </w:rPr>
  </w:style>
  <w:style w:type="paragraph" w:styleId="a7">
    <w:name w:val="footer"/>
    <w:basedOn w:val="a"/>
    <w:link w:val="a8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D6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7E085A"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085A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rsid w:val="007E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E08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sid w:val="007E085A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7E085A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sid w:val="007E085A"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E085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sid w:val="007E085A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rsid w:val="007E085A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E085A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D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D64"/>
    <w:rPr>
      <w:rFonts w:cs="Times New Roman"/>
    </w:rPr>
  </w:style>
  <w:style w:type="paragraph" w:styleId="a7">
    <w:name w:val="footer"/>
    <w:basedOn w:val="a"/>
    <w:link w:val="a8"/>
    <w:uiPriority w:val="99"/>
    <w:rsid w:val="006F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D6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7E085A"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085A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rsid w:val="007E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E08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sid w:val="007E085A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7E085A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sid w:val="007E085A"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E085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sid w:val="007E085A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rsid w:val="007E085A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E085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6F37-6977-453F-87AE-EC6A1DD8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НПО Алмаз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Егорова Татьяна Николаевна</cp:lastModifiedBy>
  <cp:revision>2</cp:revision>
  <cp:lastPrinted>2018-03-27T07:01:00Z</cp:lastPrinted>
  <dcterms:created xsi:type="dcterms:W3CDTF">2020-06-26T10:51:00Z</dcterms:created>
  <dcterms:modified xsi:type="dcterms:W3CDTF">2020-06-26T10:51:00Z</dcterms:modified>
</cp:coreProperties>
</file>