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DC" w:rsidRDefault="00146A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6ADC" w:rsidRDefault="00146ADC">
      <w:pPr>
        <w:pStyle w:val="ConsPlusNormal"/>
        <w:jc w:val="both"/>
        <w:outlineLvl w:val="0"/>
      </w:pPr>
    </w:p>
    <w:p w:rsidR="00146ADC" w:rsidRDefault="00146ADC">
      <w:pPr>
        <w:pStyle w:val="ConsPlusNormal"/>
        <w:outlineLvl w:val="0"/>
      </w:pPr>
      <w:r>
        <w:t>Зарегистрировано в Минюсте России 25 августа 2014 г. N 33835</w:t>
      </w:r>
    </w:p>
    <w:p w:rsidR="00146ADC" w:rsidRDefault="00146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46ADC" w:rsidRDefault="00146ADC">
      <w:pPr>
        <w:pStyle w:val="ConsPlusTitle"/>
        <w:jc w:val="center"/>
      </w:pPr>
    </w:p>
    <w:p w:rsidR="00146ADC" w:rsidRDefault="00146ADC">
      <w:pPr>
        <w:pStyle w:val="ConsPlusTitle"/>
        <w:jc w:val="center"/>
      </w:pPr>
      <w:r>
        <w:t>ПРИКАЗ</w:t>
      </w:r>
    </w:p>
    <w:p w:rsidR="00146ADC" w:rsidRDefault="00146ADC">
      <w:pPr>
        <w:pStyle w:val="ConsPlusTitle"/>
        <w:jc w:val="center"/>
      </w:pPr>
      <w:r>
        <w:t>от 30 июля 2014 г. N 876</w:t>
      </w:r>
    </w:p>
    <w:p w:rsidR="00146ADC" w:rsidRDefault="00146ADC">
      <w:pPr>
        <w:pStyle w:val="ConsPlusTitle"/>
        <w:jc w:val="center"/>
      </w:pPr>
    </w:p>
    <w:p w:rsidR="00146ADC" w:rsidRDefault="00146ADC">
      <w:pPr>
        <w:pStyle w:val="ConsPlusTitle"/>
        <w:jc w:val="center"/>
      </w:pPr>
      <w:r>
        <w:t>ОБ УТВЕРЖДЕНИИ</w:t>
      </w:r>
    </w:p>
    <w:p w:rsidR="00146ADC" w:rsidRDefault="00146AD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46ADC" w:rsidRDefault="00146ADC">
      <w:pPr>
        <w:pStyle w:val="ConsPlusTitle"/>
        <w:jc w:val="center"/>
      </w:pPr>
      <w:r>
        <w:t>ВЫСШЕГО ОБРАЗОВАНИЯ ПО НАПРАВЛЕНИЮ ПОДГОТОВКИ 11.06.01</w:t>
      </w:r>
    </w:p>
    <w:p w:rsidR="00146ADC" w:rsidRDefault="00146ADC">
      <w:pPr>
        <w:pStyle w:val="ConsPlusTitle"/>
        <w:jc w:val="center"/>
      </w:pPr>
      <w:proofErr w:type="gramStart"/>
      <w:r>
        <w:t>ЭЛЕКТРОНИКА, РАДИОТЕХНИКА И СИСТЕМЫ СВЯЗИ (УРОВЕНЬ</w:t>
      </w:r>
      <w:proofErr w:type="gramEnd"/>
    </w:p>
    <w:p w:rsidR="00146ADC" w:rsidRDefault="00146ADC">
      <w:pPr>
        <w:pStyle w:val="ConsPlusTitle"/>
        <w:jc w:val="center"/>
      </w:pPr>
      <w:proofErr w:type="gramStart"/>
      <w:r>
        <w:t>ПОДГОТОВКИ КАДРОВ ВЫСШЕЙ КВАЛИФИКАЦИИ)</w:t>
      </w:r>
      <w:proofErr w:type="gramEnd"/>
    </w:p>
    <w:p w:rsidR="00146ADC" w:rsidRDefault="00146ADC">
      <w:pPr>
        <w:pStyle w:val="ConsPlusNormal"/>
        <w:jc w:val="center"/>
      </w:pPr>
      <w:r>
        <w:t>Список изменяющих документов</w:t>
      </w:r>
    </w:p>
    <w:p w:rsidR="00146ADC" w:rsidRDefault="00146AD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jc w:val="center"/>
      </w:pPr>
    </w:p>
    <w:p w:rsidR="00146ADC" w:rsidRDefault="00146AD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11.06.01 Электроника, радиотехника и системы связи (уровень подготовки кадров высшей квалификации).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2014 года.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right"/>
      </w:pPr>
      <w:r>
        <w:t>Министр</w:t>
      </w:r>
    </w:p>
    <w:p w:rsidR="00146ADC" w:rsidRDefault="00146ADC">
      <w:pPr>
        <w:pStyle w:val="ConsPlusNormal"/>
        <w:jc w:val="right"/>
      </w:pPr>
      <w:r>
        <w:t>Д.В.ЛИВАНОВ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right"/>
        <w:outlineLvl w:val="0"/>
      </w:pPr>
      <w:r>
        <w:t>Приложение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right"/>
      </w:pPr>
      <w:r>
        <w:t>Утвержден</w:t>
      </w:r>
    </w:p>
    <w:p w:rsidR="00146ADC" w:rsidRDefault="00146ADC">
      <w:pPr>
        <w:pStyle w:val="ConsPlusNormal"/>
        <w:jc w:val="right"/>
      </w:pPr>
      <w:r>
        <w:t>приказом Министерства образования</w:t>
      </w:r>
    </w:p>
    <w:p w:rsidR="00146ADC" w:rsidRDefault="00146ADC">
      <w:pPr>
        <w:pStyle w:val="ConsPlusNormal"/>
        <w:jc w:val="right"/>
      </w:pPr>
      <w:r>
        <w:t>и науки Российской Федерации</w:t>
      </w:r>
    </w:p>
    <w:p w:rsidR="00146ADC" w:rsidRDefault="00146ADC">
      <w:pPr>
        <w:pStyle w:val="ConsPlusNormal"/>
        <w:jc w:val="right"/>
      </w:pPr>
      <w:r>
        <w:t>от 30 июля 2014 г. N 876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146ADC" w:rsidRDefault="00146ADC">
      <w:pPr>
        <w:pStyle w:val="ConsPlusTitle"/>
        <w:jc w:val="center"/>
      </w:pPr>
      <w:r>
        <w:t>ВЫСШЕГО ОБРАЗОВАНИЯ</w:t>
      </w:r>
    </w:p>
    <w:p w:rsidR="00146ADC" w:rsidRDefault="00146ADC">
      <w:pPr>
        <w:pStyle w:val="ConsPlusTitle"/>
        <w:jc w:val="center"/>
      </w:pPr>
    </w:p>
    <w:p w:rsidR="00146ADC" w:rsidRDefault="00146ADC">
      <w:pPr>
        <w:pStyle w:val="ConsPlusTitle"/>
        <w:jc w:val="center"/>
      </w:pPr>
      <w:r>
        <w:t>УРОВЕНЬ ВЫСШЕГО ОБРАЗОВАНИЯ</w:t>
      </w:r>
    </w:p>
    <w:p w:rsidR="00146ADC" w:rsidRDefault="00146ADC">
      <w:pPr>
        <w:pStyle w:val="ConsPlusTitle"/>
        <w:jc w:val="center"/>
      </w:pPr>
      <w:r>
        <w:t>ПОДГОТОВКА КАДРОВ ВЫСШЕЙ КВАЛИФИКАЦИИ</w:t>
      </w:r>
    </w:p>
    <w:p w:rsidR="00146ADC" w:rsidRDefault="00146ADC">
      <w:pPr>
        <w:pStyle w:val="ConsPlusTitle"/>
        <w:jc w:val="center"/>
      </w:pPr>
    </w:p>
    <w:p w:rsidR="00146ADC" w:rsidRDefault="00146ADC">
      <w:pPr>
        <w:pStyle w:val="ConsPlusTitle"/>
        <w:jc w:val="center"/>
      </w:pPr>
      <w:r>
        <w:lastRenderedPageBreak/>
        <w:t>НАПРАВЛЕНИЕ ПОДГОТОВКИ</w:t>
      </w:r>
    </w:p>
    <w:p w:rsidR="00146ADC" w:rsidRDefault="00146ADC">
      <w:pPr>
        <w:pStyle w:val="ConsPlusTitle"/>
        <w:jc w:val="center"/>
      </w:pPr>
      <w:r>
        <w:t>11.06.01 ЭЛЕКТРОНИКА, РАДИОТЕХНИКА И СИСТЕМЫ СВЯЗИ</w:t>
      </w:r>
    </w:p>
    <w:p w:rsidR="00146ADC" w:rsidRDefault="00146ADC">
      <w:pPr>
        <w:pStyle w:val="ConsPlusNormal"/>
        <w:jc w:val="center"/>
      </w:pPr>
      <w:r>
        <w:t>Список изменяющих документов</w:t>
      </w:r>
    </w:p>
    <w:p w:rsidR="00146ADC" w:rsidRDefault="00146AD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I. ОБЛАСТЬ ПРИМЕНЕНИЯ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11.06.01 Электроника, радиотехника и системы связи (далее соответственно - программа аспирантуры, направление подготовки).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II. ИСПОЛЬЗУЕМЫЕ СОКРАЩЕНИЯ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46ADC" w:rsidRDefault="00146ADC">
      <w:pPr>
        <w:pStyle w:val="ConsPlusNormal"/>
        <w:spacing w:before="220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УК - универсальные компетенции;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>Объем программы аспирантуры составляет 240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аспирантуры: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</w:t>
      </w:r>
      <w:r>
        <w:lastRenderedPageBreak/>
        <w:t>организацией самостоятельно;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46ADC" w:rsidRDefault="00146ADC">
      <w:pPr>
        <w:pStyle w:val="ConsPlusNormal"/>
        <w:jc w:val="center"/>
      </w:pPr>
      <w:r>
        <w:t>ВЫПУСКНИКОВ, ОСВОИВШИХ ПРОГРАММУ АСПИРАНТУРЫ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микроволновой, оптической, микр</w:t>
      </w:r>
      <w:proofErr w:type="gramStart"/>
      <w:r>
        <w:t>о-</w:t>
      </w:r>
      <w:proofErr w:type="gramEnd"/>
      <w:r>
        <w:t xml:space="preserve"> и наноэлектроники различного функционального назначения;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проводной</w:t>
      </w:r>
      <w:proofErr w:type="gramEnd"/>
      <w:r>
        <w:t>, радио, оптической системам, ее обработки и хранения.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</w:t>
      </w:r>
      <w:r>
        <w:lastRenderedPageBreak/>
        <w:t>применения по назначению и технического обслуживания;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разработку методик и организацию проведения экспериментов и испытаний, анализ их результатов;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подготовку заданий для проведения исследовательских и научных работ;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участие в конференциях, симпозиумах, школах-семинарах и т.д.;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защиту объектов интеллектуальной собственности;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</w:t>
      </w:r>
      <w:r>
        <w:lastRenderedPageBreak/>
        <w:t>использованием знаний в области истории и философии науки (УК-2);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(УК-6).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готовностью организовать работу исследовательского коллектива в профессиональной деятельности (ОПК-4);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(ОПК-5).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146ADC" w:rsidRDefault="00146AD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6.2. Программа аспирантуры состоит из следующих блоков: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</w:t>
      </w:r>
      <w:r>
        <w:lastRenderedPageBreak/>
        <w:t>базовой части программы, и дисциплины (модули), относящиеся к ее вариативной части.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146ADC" w:rsidRDefault="00146A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146ADC" w:rsidRDefault="00146ADC">
      <w:pPr>
        <w:pStyle w:val="ConsPlusNormal"/>
        <w:jc w:val="both"/>
      </w:pPr>
    </w:p>
    <w:p w:rsidR="00146ADC" w:rsidRDefault="00146ADC">
      <w:pPr>
        <w:sectPr w:rsidR="00146ADC" w:rsidSect="00794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ADC" w:rsidRDefault="00146ADC">
      <w:pPr>
        <w:pStyle w:val="ConsPlusNormal"/>
        <w:jc w:val="center"/>
        <w:outlineLvl w:val="2"/>
      </w:pPr>
      <w:r>
        <w:lastRenderedPageBreak/>
        <w:t>Структура программы аспирантуры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right"/>
      </w:pPr>
      <w:r>
        <w:t>Таблица</w:t>
      </w:r>
    </w:p>
    <w:p w:rsidR="00146ADC" w:rsidRDefault="00146AD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871"/>
      </w:tblGrid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1871" w:type="dxa"/>
          </w:tcPr>
          <w:p w:rsidR="00146ADC" w:rsidRDefault="00146ADC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1871" w:type="dxa"/>
          </w:tcPr>
          <w:p w:rsidR="00146ADC" w:rsidRDefault="00146ADC">
            <w:pPr>
              <w:pStyle w:val="ConsPlusNormal"/>
              <w:jc w:val="center"/>
            </w:pPr>
            <w:r>
              <w:t>30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 w:val="restart"/>
          </w:tcPr>
          <w:p w:rsidR="00146ADC" w:rsidRDefault="00146ADC">
            <w:pPr>
              <w:pStyle w:val="ConsPlusNormal"/>
              <w:jc w:val="center"/>
            </w:pPr>
            <w:r>
              <w:t>9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871" w:type="dxa"/>
            <w:vMerge/>
          </w:tcPr>
          <w:p w:rsidR="00146ADC" w:rsidRDefault="00146ADC"/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Вариативная часть</w:t>
            </w:r>
          </w:p>
          <w:p w:rsidR="00146ADC" w:rsidRDefault="00146ADC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146ADC" w:rsidRDefault="00146ADC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871" w:type="dxa"/>
          </w:tcPr>
          <w:p w:rsidR="00146ADC" w:rsidRDefault="00146ADC">
            <w:pPr>
              <w:pStyle w:val="ConsPlusNormal"/>
              <w:jc w:val="center"/>
            </w:pPr>
            <w:r>
              <w:t>21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center"/>
          </w:tcPr>
          <w:p w:rsidR="00146ADC" w:rsidRDefault="00146ADC">
            <w:pPr>
              <w:pStyle w:val="ConsPlusNormal"/>
              <w:jc w:val="center"/>
            </w:pPr>
            <w:r>
              <w:t>201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146ADC" w:rsidRDefault="00146ADC"/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146ADC" w:rsidRDefault="00146ADC"/>
        </w:tc>
      </w:tr>
      <w:tr w:rsidR="00146ADC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146ADC" w:rsidRDefault="00146ADC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146ADC" w:rsidRDefault="00146ADC"/>
        </w:tc>
      </w:tr>
      <w:tr w:rsidR="00146ADC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146ADC" w:rsidRDefault="00146ADC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Блок 4 "Государственная итоговая аттестация"</w:t>
            </w:r>
          </w:p>
        </w:tc>
        <w:tc>
          <w:tcPr>
            <w:tcW w:w="1871" w:type="dxa"/>
            <w:vMerge w:val="restart"/>
          </w:tcPr>
          <w:p w:rsidR="00146ADC" w:rsidRDefault="00146ADC">
            <w:pPr>
              <w:pStyle w:val="ConsPlusNormal"/>
              <w:jc w:val="center"/>
            </w:pPr>
            <w:r>
              <w:t>9</w:t>
            </w:r>
          </w:p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/>
          </w:tcPr>
          <w:p w:rsidR="00146ADC" w:rsidRDefault="00146ADC"/>
        </w:tc>
      </w:tr>
      <w:tr w:rsidR="00146ADC">
        <w:tc>
          <w:tcPr>
            <w:tcW w:w="7710" w:type="dxa"/>
          </w:tcPr>
          <w:p w:rsidR="00146ADC" w:rsidRDefault="00146ADC">
            <w:pPr>
              <w:pStyle w:val="ConsPlusNormal"/>
              <w:jc w:val="both"/>
            </w:pPr>
            <w:r>
              <w:t>Объем программы аспирантуры</w:t>
            </w:r>
          </w:p>
        </w:tc>
        <w:tc>
          <w:tcPr>
            <w:tcW w:w="1871" w:type="dxa"/>
          </w:tcPr>
          <w:p w:rsidR="00146ADC" w:rsidRDefault="00146ADC">
            <w:pPr>
              <w:pStyle w:val="ConsPlusNormal"/>
              <w:jc w:val="center"/>
            </w:pPr>
            <w:r>
              <w:t>240</w:t>
            </w:r>
          </w:p>
        </w:tc>
      </w:tr>
    </w:tbl>
    <w:p w:rsidR="00146ADC" w:rsidRDefault="00146ADC">
      <w:pPr>
        <w:sectPr w:rsidR="00146A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Педагогическая практика является обязательной.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Способы проведения практики: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стационарная;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выездная.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146ADC" w:rsidRDefault="00146ADC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</w:t>
      </w:r>
      <w:r>
        <w:lastRenderedPageBreak/>
        <w:t>N 32, ст. 4496).</w:t>
      </w:r>
    </w:p>
    <w:p w:rsidR="00146ADC" w:rsidRDefault="00146ADC">
      <w:pPr>
        <w:pStyle w:val="ConsPlusNormal"/>
        <w:ind w:firstLine="540"/>
        <w:jc w:val="both"/>
      </w:pPr>
    </w:p>
    <w:p w:rsidR="00146ADC" w:rsidRDefault="00146ADC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146ADC" w:rsidRDefault="00146ADC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146ADC" w:rsidRDefault="00146A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</w:t>
      </w:r>
      <w:proofErr w:type="gramStart"/>
      <w:r>
        <w:t>организации</w:t>
      </w:r>
      <w:proofErr w:type="gramEnd"/>
      <w:r>
        <w:t xml:space="preserve"> как на территории организации, так и вне ее.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6ADC" w:rsidRDefault="00146AD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lastRenderedPageBreak/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146ADC" w:rsidRDefault="00146AD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ind w:firstLine="540"/>
        <w:jc w:val="both"/>
      </w:pPr>
    </w:p>
    <w:p w:rsidR="00146ADC" w:rsidRDefault="00146AD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7.3.1. </w:t>
      </w:r>
      <w:proofErr w:type="gramStart"/>
      <w:r>
        <w:t>Организация должна иметь специальные помещения для проведении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proofErr w:type="gramEnd"/>
      <w:r>
        <w:t xml:space="preserve">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146ADC" w:rsidRDefault="00146AD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lastRenderedPageBreak/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146ADC" w:rsidRDefault="00146ADC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146ADC" w:rsidRDefault="00146ADC">
      <w:pPr>
        <w:pStyle w:val="ConsPlusNormal"/>
        <w:ind w:firstLine="540"/>
        <w:jc w:val="both"/>
      </w:pPr>
    </w:p>
    <w:p w:rsidR="00146ADC" w:rsidRDefault="00146ADC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146ADC" w:rsidRDefault="00146ADC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jc w:val="both"/>
      </w:pPr>
    </w:p>
    <w:p w:rsidR="00146ADC" w:rsidRDefault="00146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D71" w:rsidRDefault="00146ADC">
      <w:bookmarkStart w:id="1" w:name="_GoBack"/>
      <w:bookmarkEnd w:id="1"/>
    </w:p>
    <w:sectPr w:rsidR="007E0D71" w:rsidSect="00F86C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DC"/>
    <w:rsid w:val="00146ADC"/>
    <w:rsid w:val="009851B2"/>
    <w:rsid w:val="00C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CABCC6CDDDFD9240896FAAB85FC128C3AE0195FD0C310C58F398DEB756B22938BB2A7C9656195dChDN" TargetMode="External"/><Relationship Id="rId13" Type="http://schemas.openxmlformats.org/officeDocument/2006/relationships/hyperlink" Target="consultantplus://offline/ref=3AFCABCC6CDDDFD9240896FAAB85FC128C3EE6185AD7C310C58F398DEB756B22938BB2A7C9656192dChFN" TargetMode="External"/><Relationship Id="rId18" Type="http://schemas.openxmlformats.org/officeDocument/2006/relationships/hyperlink" Target="consultantplus://offline/ref=3AFCABCC6CDDDFD9240896FAAB85FC128F33E01E58D4C310C58F398DEB756B22938BB2A7C9656391dChBN" TargetMode="External"/><Relationship Id="rId26" Type="http://schemas.openxmlformats.org/officeDocument/2006/relationships/hyperlink" Target="consultantplus://offline/ref=3AFCABCC6CDDDFD9240896FAAB85FC128F3EE21B5ED4C310C58F398DEB756B22938BB2A7C9656190dCh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FCABCC6CDDDFD9240896FAAB85FC128F3AE21E5FD2C310C58F398DEB756B22938BB2A7C9656190dChFN" TargetMode="External"/><Relationship Id="rId7" Type="http://schemas.openxmlformats.org/officeDocument/2006/relationships/hyperlink" Target="consultantplus://offline/ref=3AFCABCC6CDDDFD9240896FAAB85FC128C3AE81A56D0C310C58F398DEB756B22938BB2A7C9656197dChEN" TargetMode="External"/><Relationship Id="rId12" Type="http://schemas.openxmlformats.org/officeDocument/2006/relationships/hyperlink" Target="consultantplus://offline/ref=3AFCABCC6CDDDFD9240896FAAB85FC128F33E01E58D4C310C58F398DEB756B22938BB2A7C9656098dChAN" TargetMode="External"/><Relationship Id="rId17" Type="http://schemas.openxmlformats.org/officeDocument/2006/relationships/hyperlink" Target="consultantplus://offline/ref=3AFCABCC6CDDDFD9240896FAAB85FC128F33E01E58D4C310C58F398DEB756B22938BB2A7C9656098dCh6N" TargetMode="External"/><Relationship Id="rId25" Type="http://schemas.openxmlformats.org/officeDocument/2006/relationships/hyperlink" Target="consultantplus://offline/ref=3AFCABCC6CDDDFD9240896FAAB85FC128F33E01E58D4C310C58F398DEB756B22938BB2A7C9656391dCh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FCABCC6CDDDFD9240896FAAB85FC128C3EE6185AD7C310C58F398DEB756B22938BB2A7C9656197dCh7N" TargetMode="External"/><Relationship Id="rId20" Type="http://schemas.openxmlformats.org/officeDocument/2006/relationships/hyperlink" Target="consultantplus://offline/ref=3AFCABCC6CDDDFD9240896FAAB85FC128C39E11E5AD0C310C58F398DEBd7h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CABCC6CDDDFD9240896FAAB85FC128F33E01E58D4C310C58F398DEB756B22938BB2A7C9656098dChDN" TargetMode="External"/><Relationship Id="rId11" Type="http://schemas.openxmlformats.org/officeDocument/2006/relationships/hyperlink" Target="consultantplus://offline/ref=3AFCABCC6CDDDFD9240896FAAB85FC128F33E01E58D4C310C58F398DEB756B22938BB2A7C9656098dChBN" TargetMode="External"/><Relationship Id="rId24" Type="http://schemas.openxmlformats.org/officeDocument/2006/relationships/hyperlink" Target="consultantplus://offline/ref=3AFCABCC6CDDDFD9240896FAAB85FC128F33E01E58D4C310C58F398DEB756B22938BB2A7C9656391dCh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FCABCC6CDDDFD9240896FAAB85FC128C3EE6185AD7C310C58F398DEB756B22938BB2A7C9656197dChAN" TargetMode="External"/><Relationship Id="rId23" Type="http://schemas.openxmlformats.org/officeDocument/2006/relationships/hyperlink" Target="consultantplus://offline/ref=3AFCABCC6CDDDFD9240896FAAB85FC128F3EE01F58DCC310C58F398DEB756B22938BB2A7C9656190dCh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FCABCC6CDDDFD9240896FAAB85FC128C3AE81A56D0C310C58F398DEB756B22938BB2A7C9656391dChFN" TargetMode="External"/><Relationship Id="rId19" Type="http://schemas.openxmlformats.org/officeDocument/2006/relationships/hyperlink" Target="consultantplus://offline/ref=3AFCABCC6CDDDFD9240896FAAB85FC128C3AE91B5CD5C310C58F398DEBd7h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CABCC6CDDDFD9240896FAAB85FC128F33E01E58D4C310C58F398DEB756B22938BB2A7C9656098dChDN" TargetMode="External"/><Relationship Id="rId14" Type="http://schemas.openxmlformats.org/officeDocument/2006/relationships/hyperlink" Target="consultantplus://offline/ref=3AFCABCC6CDDDFD9240896FAAB85FC128F33E01E58D4C310C58F398DEB756B22938BB2A7C9656098dCh9N" TargetMode="External"/><Relationship Id="rId22" Type="http://schemas.openxmlformats.org/officeDocument/2006/relationships/hyperlink" Target="consultantplus://offline/ref=3AFCABCC6CDDDFD9240896FAAB85FC128C3EE6185AD7C310C58F398DEB756B22938BB2A7C9656194dCh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Балукова Наталья Александровна</dc:creator>
  <cp:lastModifiedBy>Балукова Наталья Александровна</cp:lastModifiedBy>
  <cp:revision>1</cp:revision>
  <dcterms:created xsi:type="dcterms:W3CDTF">2017-11-01T13:33:00Z</dcterms:created>
  <dcterms:modified xsi:type="dcterms:W3CDTF">2017-11-01T13:34:00Z</dcterms:modified>
</cp:coreProperties>
</file>