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01" w:rsidRDefault="006E48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4801" w:rsidRDefault="006E4801">
      <w:pPr>
        <w:pStyle w:val="ConsPlusNormal"/>
        <w:jc w:val="both"/>
        <w:outlineLvl w:val="0"/>
      </w:pPr>
    </w:p>
    <w:p w:rsidR="006E4801" w:rsidRDefault="006E4801">
      <w:pPr>
        <w:pStyle w:val="ConsPlusNormal"/>
        <w:outlineLvl w:val="0"/>
      </w:pPr>
      <w:r>
        <w:t>Зарегистрировано в Минюсте России 20 августа 2014 г. N 33685</w:t>
      </w:r>
    </w:p>
    <w:p w:rsidR="006E4801" w:rsidRDefault="006E4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E4801" w:rsidRDefault="006E4801">
      <w:pPr>
        <w:pStyle w:val="ConsPlusTitle"/>
        <w:jc w:val="center"/>
      </w:pPr>
    </w:p>
    <w:p w:rsidR="006E4801" w:rsidRDefault="006E4801">
      <w:pPr>
        <w:pStyle w:val="ConsPlusTitle"/>
        <w:jc w:val="center"/>
      </w:pPr>
      <w:r>
        <w:t>ПРИКАЗ</w:t>
      </w:r>
    </w:p>
    <w:p w:rsidR="006E4801" w:rsidRDefault="006E4801">
      <w:pPr>
        <w:pStyle w:val="ConsPlusTitle"/>
        <w:jc w:val="center"/>
      </w:pPr>
      <w:r>
        <w:t>от 30 июля 2014 г. N 875</w:t>
      </w:r>
    </w:p>
    <w:p w:rsidR="006E4801" w:rsidRDefault="006E4801">
      <w:pPr>
        <w:pStyle w:val="ConsPlusTitle"/>
        <w:jc w:val="center"/>
      </w:pPr>
    </w:p>
    <w:p w:rsidR="006E4801" w:rsidRDefault="006E4801">
      <w:pPr>
        <w:pStyle w:val="ConsPlusTitle"/>
        <w:jc w:val="center"/>
      </w:pPr>
      <w:r>
        <w:t>ОБ УТВЕРЖДЕНИИ</w:t>
      </w:r>
    </w:p>
    <w:p w:rsidR="006E4801" w:rsidRDefault="006E48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E4801" w:rsidRDefault="006E4801">
      <w:pPr>
        <w:pStyle w:val="ConsPlusTitle"/>
        <w:jc w:val="center"/>
      </w:pPr>
      <w:r>
        <w:t>ВЫСШЕГО ОБРАЗОВАНИЯ ПО НАПРАВЛЕНИЮ ПОДГОТОВКИ 09.06.01</w:t>
      </w:r>
    </w:p>
    <w:p w:rsidR="006E4801" w:rsidRDefault="006E4801">
      <w:pPr>
        <w:pStyle w:val="ConsPlusTitle"/>
        <w:jc w:val="center"/>
      </w:pPr>
      <w:proofErr w:type="gramStart"/>
      <w:r>
        <w:t>ИНФОРМАТИКА И ВЫЧИСЛИТЕЛЬНАЯ ТЕХНИКА (УРОВЕНЬ</w:t>
      </w:r>
      <w:proofErr w:type="gramEnd"/>
    </w:p>
    <w:p w:rsidR="006E4801" w:rsidRDefault="006E4801">
      <w:pPr>
        <w:pStyle w:val="ConsPlusTitle"/>
        <w:jc w:val="center"/>
      </w:pPr>
      <w:proofErr w:type="gramStart"/>
      <w:r>
        <w:t>ПОДГОТОВКИ КАДРОВ ВЫСШЕЙ КВАЛИФИКАЦИИ)</w:t>
      </w:r>
      <w:proofErr w:type="gramEnd"/>
    </w:p>
    <w:p w:rsidR="006E4801" w:rsidRDefault="006E4801">
      <w:pPr>
        <w:pStyle w:val="ConsPlusNormal"/>
        <w:jc w:val="center"/>
      </w:pPr>
      <w:r>
        <w:t>Список изменяющих документов</w:t>
      </w:r>
    </w:p>
    <w:p w:rsidR="006E4801" w:rsidRDefault="006E480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jc w:val="center"/>
      </w:pPr>
    </w:p>
    <w:p w:rsidR="006E4801" w:rsidRDefault="006E480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09.06.01 Информатика и вычислительная техника (уровень подготовки кадров высшей квалификации).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2014 года.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right"/>
      </w:pPr>
      <w:r>
        <w:t>Министр</w:t>
      </w:r>
    </w:p>
    <w:p w:rsidR="006E4801" w:rsidRDefault="006E4801">
      <w:pPr>
        <w:pStyle w:val="ConsPlusNormal"/>
        <w:jc w:val="right"/>
      </w:pPr>
      <w:r>
        <w:t>Д.В.ЛИВАНОВ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right"/>
        <w:outlineLvl w:val="0"/>
      </w:pPr>
      <w:r>
        <w:t>Приложение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right"/>
      </w:pPr>
      <w:r>
        <w:t>Утвержден</w:t>
      </w:r>
    </w:p>
    <w:p w:rsidR="006E4801" w:rsidRDefault="006E4801">
      <w:pPr>
        <w:pStyle w:val="ConsPlusNormal"/>
        <w:jc w:val="right"/>
      </w:pPr>
      <w:r>
        <w:t>приказом Министерства образования</w:t>
      </w:r>
    </w:p>
    <w:p w:rsidR="006E4801" w:rsidRDefault="006E4801">
      <w:pPr>
        <w:pStyle w:val="ConsPlusNormal"/>
        <w:jc w:val="right"/>
      </w:pPr>
      <w:r>
        <w:t>и науки Российской Федерации</w:t>
      </w:r>
    </w:p>
    <w:p w:rsidR="006E4801" w:rsidRDefault="006E4801">
      <w:pPr>
        <w:pStyle w:val="ConsPlusNormal"/>
        <w:jc w:val="right"/>
      </w:pPr>
      <w:r>
        <w:t>от 30 июля 2014 г. N 875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E4801" w:rsidRDefault="006E4801">
      <w:pPr>
        <w:pStyle w:val="ConsPlusTitle"/>
        <w:jc w:val="center"/>
      </w:pPr>
      <w:r>
        <w:t>ВЫСШЕГО ОБРАЗОВАНИЯ</w:t>
      </w:r>
    </w:p>
    <w:p w:rsidR="006E4801" w:rsidRDefault="006E4801">
      <w:pPr>
        <w:pStyle w:val="ConsPlusTitle"/>
        <w:jc w:val="center"/>
      </w:pPr>
    </w:p>
    <w:p w:rsidR="006E4801" w:rsidRDefault="006E4801">
      <w:pPr>
        <w:pStyle w:val="ConsPlusTitle"/>
        <w:jc w:val="center"/>
      </w:pPr>
      <w:r>
        <w:t>УРОВЕНЬ ВЫСШЕГО ОБРАЗОВАНИЯ</w:t>
      </w:r>
    </w:p>
    <w:p w:rsidR="006E4801" w:rsidRDefault="006E4801">
      <w:pPr>
        <w:pStyle w:val="ConsPlusTitle"/>
        <w:jc w:val="center"/>
      </w:pPr>
      <w:r>
        <w:t>ПОДГОТОВКА КАДРОВ ВЫСШЕЙ КВАЛИФИКАЦИИ</w:t>
      </w:r>
    </w:p>
    <w:p w:rsidR="006E4801" w:rsidRDefault="006E4801">
      <w:pPr>
        <w:pStyle w:val="ConsPlusTitle"/>
        <w:jc w:val="center"/>
      </w:pPr>
    </w:p>
    <w:p w:rsidR="006E4801" w:rsidRDefault="006E4801">
      <w:pPr>
        <w:pStyle w:val="ConsPlusTitle"/>
        <w:jc w:val="center"/>
      </w:pPr>
      <w:r>
        <w:lastRenderedPageBreak/>
        <w:t>НАПРАВЛЕНИЕ ПОДГОТОВКИ</w:t>
      </w:r>
    </w:p>
    <w:p w:rsidR="006E4801" w:rsidRDefault="006E4801">
      <w:pPr>
        <w:pStyle w:val="ConsPlusTitle"/>
        <w:jc w:val="center"/>
      </w:pPr>
      <w:r>
        <w:t>09.06.01 ИНФОРМАТИКА И ВЫЧИСЛИТЕЛЬНАЯ ТЕХНИКА</w:t>
      </w:r>
    </w:p>
    <w:p w:rsidR="006E4801" w:rsidRDefault="006E4801">
      <w:pPr>
        <w:pStyle w:val="ConsPlusNormal"/>
        <w:jc w:val="center"/>
      </w:pPr>
      <w:r>
        <w:t>Список изменяющих документов</w:t>
      </w:r>
    </w:p>
    <w:p w:rsidR="006E4801" w:rsidRDefault="006E480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I. ОБЛАСТЬ ПРИМЕНЕНИЯ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09.06.01 Информатика и вычислительная техника (далее соответственно - программа аспирантуры, направление подготовки).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II. ИСПОЛЬЗУЕМЫЕ СОКРАЩЕНИЯ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УК - универсальные компетенции;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>Объем программы аспирантуры составляет 240 зачетных единиц (далее - з.е.)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аспирантуры: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</w:t>
      </w:r>
      <w:r>
        <w:lastRenderedPageBreak/>
        <w:t>организацией самостоятельно;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E4801" w:rsidRDefault="006E4801">
      <w:pPr>
        <w:pStyle w:val="ConsPlusNormal"/>
        <w:jc w:val="center"/>
      </w:pPr>
      <w:r>
        <w:t>ВЫПУСКНИКОВ, ОСВОИВШИХ ПРОГРАММУ АСПИРАНТУРЫ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избранная область научного знания, а также научные задачи междисциплинарного характера, содержащие: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вычислительные машины, комплексы, системы и сети;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>высокопроизводительные вычисления и суперкомпьютерная техника;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технологии разработки технических средств вычислительной техники и программных продуктов.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 xml:space="preserve">научно-исследовательская деятельность в области функционирования вычислительных </w:t>
      </w:r>
      <w:r>
        <w:lastRenderedPageBreak/>
        <w:t>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(УК-6).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</w:t>
      </w:r>
      <w:r>
        <w:lastRenderedPageBreak/>
        <w:t>деятельности (ОПК-3);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готовностью организовать работу исследовательского коллектива в области профессиональной деятельности (ОПК-4);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(ОПК-8).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6.2. Программа аспирантуры состоит из следующих блоков: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6E4801" w:rsidRDefault="006E48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6E4801" w:rsidRDefault="006E4801">
      <w:pPr>
        <w:pStyle w:val="ConsPlusNormal"/>
        <w:jc w:val="both"/>
      </w:pPr>
    </w:p>
    <w:p w:rsidR="006E4801" w:rsidRDefault="006E4801">
      <w:pPr>
        <w:sectPr w:rsidR="006E4801" w:rsidSect="00930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801" w:rsidRDefault="006E4801">
      <w:pPr>
        <w:pStyle w:val="ConsPlusNormal"/>
        <w:jc w:val="center"/>
        <w:outlineLvl w:val="2"/>
      </w:pPr>
      <w:r>
        <w:lastRenderedPageBreak/>
        <w:t>Структура программы аспирантуры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right"/>
      </w:pPr>
      <w:r>
        <w:t>Таблица</w:t>
      </w:r>
    </w:p>
    <w:p w:rsidR="006E4801" w:rsidRDefault="006E48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9"/>
        <w:gridCol w:w="2520"/>
      </w:tblGrid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520" w:type="dxa"/>
          </w:tcPr>
          <w:p w:rsidR="006E4801" w:rsidRDefault="006E4801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520" w:type="dxa"/>
          </w:tcPr>
          <w:p w:rsidR="006E4801" w:rsidRDefault="006E4801">
            <w:pPr>
              <w:pStyle w:val="ConsPlusNormal"/>
              <w:jc w:val="center"/>
            </w:pPr>
            <w:r>
              <w:t>30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520" w:type="dxa"/>
            <w:vMerge w:val="restart"/>
          </w:tcPr>
          <w:p w:rsidR="006E4801" w:rsidRDefault="006E4801">
            <w:pPr>
              <w:pStyle w:val="ConsPlusNormal"/>
              <w:jc w:val="center"/>
            </w:pPr>
            <w:r>
              <w:t>9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20" w:type="dxa"/>
            <w:vMerge/>
          </w:tcPr>
          <w:p w:rsidR="006E4801" w:rsidRDefault="006E4801"/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Вариативная часть</w:t>
            </w:r>
          </w:p>
          <w:p w:rsidR="006E4801" w:rsidRDefault="006E4801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6E4801" w:rsidRDefault="006E4801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520" w:type="dxa"/>
          </w:tcPr>
          <w:p w:rsidR="006E4801" w:rsidRDefault="006E4801">
            <w:pPr>
              <w:pStyle w:val="ConsPlusNormal"/>
              <w:jc w:val="center"/>
            </w:pPr>
            <w:r>
              <w:t>21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6E4801" w:rsidRDefault="006E4801">
            <w:pPr>
              <w:pStyle w:val="ConsPlusNormal"/>
              <w:jc w:val="center"/>
            </w:pPr>
            <w:r>
              <w:t>201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6E4801" w:rsidRDefault="006E4801"/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6E4801" w:rsidRDefault="006E4801"/>
        </w:tc>
      </w:tr>
      <w:tr w:rsidR="006E4801">
        <w:tblPrEx>
          <w:tblBorders>
            <w:insideH w:val="nil"/>
          </w:tblBorders>
        </w:tblPrEx>
        <w:tc>
          <w:tcPr>
            <w:tcW w:w="7119" w:type="dxa"/>
            <w:tcBorders>
              <w:bottom w:val="nil"/>
            </w:tcBorders>
          </w:tcPr>
          <w:p w:rsidR="006E4801" w:rsidRDefault="006E4801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6E4801" w:rsidRDefault="006E4801"/>
        </w:tc>
      </w:tr>
      <w:tr w:rsidR="006E480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6E4801" w:rsidRDefault="006E4801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520" w:type="dxa"/>
            <w:vMerge w:val="restart"/>
          </w:tcPr>
          <w:p w:rsidR="006E4801" w:rsidRDefault="006E4801">
            <w:pPr>
              <w:pStyle w:val="ConsPlusNormal"/>
              <w:jc w:val="center"/>
            </w:pPr>
            <w:r>
              <w:t>9</w:t>
            </w:r>
          </w:p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/>
          </w:tcPr>
          <w:p w:rsidR="006E4801" w:rsidRDefault="006E4801"/>
        </w:tc>
      </w:tr>
      <w:tr w:rsidR="006E4801">
        <w:tc>
          <w:tcPr>
            <w:tcW w:w="7119" w:type="dxa"/>
          </w:tcPr>
          <w:p w:rsidR="006E4801" w:rsidRDefault="006E4801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520" w:type="dxa"/>
          </w:tcPr>
          <w:p w:rsidR="006E4801" w:rsidRDefault="006E4801">
            <w:pPr>
              <w:pStyle w:val="ConsPlusNormal"/>
              <w:jc w:val="center"/>
            </w:pPr>
            <w:r>
              <w:t>240</w:t>
            </w:r>
          </w:p>
        </w:tc>
      </w:tr>
    </w:tbl>
    <w:p w:rsidR="006E4801" w:rsidRDefault="006E4801">
      <w:pPr>
        <w:sectPr w:rsidR="006E48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Педагогическая практика является обязательной.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Способы проведения практики: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стационарная;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выездная.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6E4801" w:rsidRDefault="006E4801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</w:t>
      </w:r>
      <w:r>
        <w:lastRenderedPageBreak/>
        <w:t>N 32, ст. 4496).</w:t>
      </w:r>
    </w:p>
    <w:p w:rsidR="006E4801" w:rsidRDefault="006E4801">
      <w:pPr>
        <w:pStyle w:val="ConsPlusNormal"/>
        <w:ind w:firstLine="540"/>
        <w:jc w:val="both"/>
      </w:pPr>
    </w:p>
    <w:p w:rsidR="006E4801" w:rsidRDefault="006E4801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6E4801" w:rsidRDefault="006E4801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6E4801" w:rsidRDefault="006E48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lastRenderedPageBreak/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6E4801" w:rsidRDefault="006E480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6E4801" w:rsidRDefault="006E480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lastRenderedPageBreak/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6E4801" w:rsidRDefault="006E4801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6E4801" w:rsidRDefault="006E4801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jc w:val="both"/>
      </w:pPr>
    </w:p>
    <w:p w:rsidR="006E4801" w:rsidRDefault="006E4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D71" w:rsidRDefault="006E4801">
      <w:bookmarkStart w:id="1" w:name="_GoBack"/>
      <w:bookmarkEnd w:id="1"/>
    </w:p>
    <w:sectPr w:rsidR="007E0D71" w:rsidSect="001D76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01"/>
    <w:rsid w:val="006E4801"/>
    <w:rsid w:val="009851B2"/>
    <w:rsid w:val="00C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C4C04F011009EB9C4B9E6EE79A05BEEE29B206F53F7D75577006B5B4CC4668F13AE00B1230859l5g1N" TargetMode="External"/><Relationship Id="rId13" Type="http://schemas.openxmlformats.org/officeDocument/2006/relationships/hyperlink" Target="consultantplus://offline/ref=D0FC4C04F011009EB9C4B9E6EE79A05BEEE69D216A54F7D75577006B5B4CC4668F13AE00B123085El5g3N" TargetMode="External"/><Relationship Id="rId18" Type="http://schemas.openxmlformats.org/officeDocument/2006/relationships/hyperlink" Target="consultantplus://offline/ref=D0FC4C04F011009EB9C4B9E6EE79A05BEDEB9B276857F7D75577006B5B4CC4668F13AE00B1230955l5gAN" TargetMode="External"/><Relationship Id="rId26" Type="http://schemas.openxmlformats.org/officeDocument/2006/relationships/hyperlink" Target="consultantplus://offline/ref=D0FC4C04F011009EB9C4B9E6EE79A05BEDE699226E57F7D75577006B5B4CC4668F13AE00B123085Cl5g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FC4C04F011009EB9C4B9E6EE79A05BEDE299276F51F7D75577006B5B4CC4668F13AE00B123085Cl5g3N" TargetMode="External"/><Relationship Id="rId7" Type="http://schemas.openxmlformats.org/officeDocument/2006/relationships/hyperlink" Target="consultantplus://offline/ref=D0FC4C04F011009EB9C4B9E6EE79A05BEEE293236653F7D75577006B5B4CC4668F13AE00B123085Bl5g2N" TargetMode="External"/><Relationship Id="rId12" Type="http://schemas.openxmlformats.org/officeDocument/2006/relationships/hyperlink" Target="consultantplus://offline/ref=D0FC4C04F011009EB9C4B9E6EE79A05BEDEB9B276857F7D75577006B5B4CC4668F13AE00B1230955l5g3N" TargetMode="External"/><Relationship Id="rId17" Type="http://schemas.openxmlformats.org/officeDocument/2006/relationships/hyperlink" Target="consultantplus://offline/ref=D0FC4C04F011009EB9C4B9E6EE79A05BEDEB9B276857F7D75577006B5B4CC4668F13AE00B1230955l5g7N" TargetMode="External"/><Relationship Id="rId25" Type="http://schemas.openxmlformats.org/officeDocument/2006/relationships/hyperlink" Target="consultantplus://offline/ref=D0FC4C04F011009EB9C4B9E6EE79A05BEDEB9B276857F7D75577006B5B4CC4668F13AE00B1230954l5g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FC4C04F011009EB9C4B9E6EE79A05BEEE69D216A54F7D75577006B5B4CC4668F13AE00B123085Bl5gBN" TargetMode="External"/><Relationship Id="rId20" Type="http://schemas.openxmlformats.org/officeDocument/2006/relationships/hyperlink" Target="consultantplus://offline/ref=D0FC4C04F011009EB9C4B9E6EE79A05BEEE19A276A53F7D75577006B5Bl4g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C4C04F011009EB9C4B9E6EE79A05BEDEB9B276857F7D75577006B5B4CC4668F13AE00B123095Al5g4N" TargetMode="External"/><Relationship Id="rId11" Type="http://schemas.openxmlformats.org/officeDocument/2006/relationships/hyperlink" Target="consultantplus://offline/ref=D0FC4C04F011009EB9C4B9E6EE79A05BEDEB9B276857F7D75577006B5B4CC4668F13AE00B123095Al5gAN" TargetMode="External"/><Relationship Id="rId24" Type="http://schemas.openxmlformats.org/officeDocument/2006/relationships/hyperlink" Target="consultantplus://offline/ref=D0FC4C04F011009EB9C4B9E6EE79A05BEDEB9B276857F7D75577006B5B4CC4668F13AE00B1230954l5g3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0FC4C04F011009EB9C4B9E6EE79A05BEEE69D216A54F7D75577006B5B4CC4668F13AE00B123085Bl5g6N" TargetMode="External"/><Relationship Id="rId23" Type="http://schemas.openxmlformats.org/officeDocument/2006/relationships/hyperlink" Target="consultantplus://offline/ref=D0FC4C04F011009EB9C4B9E6EE79A05BEDE69B26685FF7D75577006B5B4CC4668F13AE00B123085Cl5g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0FC4C04F011009EB9C4B9E6EE79A05BEEE293236653F7D75577006B5B4CC4668F13AE00B1230A5Dl5g3N" TargetMode="External"/><Relationship Id="rId19" Type="http://schemas.openxmlformats.org/officeDocument/2006/relationships/hyperlink" Target="consultantplus://offline/ref=D0FC4C04F011009EB9C4B9E6EE79A05BEEE292226C56F7D75577006B5Bl4g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C4C04F011009EB9C4B9E6EE79A05BEDEB9B276857F7D75577006B5B4CC4668F13AE00B123095Al5g4N" TargetMode="External"/><Relationship Id="rId14" Type="http://schemas.openxmlformats.org/officeDocument/2006/relationships/hyperlink" Target="consultantplus://offline/ref=D0FC4C04F011009EB9C4B9E6EE79A05BEDEB9B276857F7D75577006B5B4CC4668F13AE00B1230955l5g2N" TargetMode="External"/><Relationship Id="rId22" Type="http://schemas.openxmlformats.org/officeDocument/2006/relationships/hyperlink" Target="consultantplus://offline/ref=D0FC4C04F011009EB9C4B9E6EE79A05BEEE69D216A54F7D75577006B5B4CC4668F13AE00B1230858l5g1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Наталья Александровна</dc:creator>
  <cp:lastModifiedBy>Балукова Наталья Александровна</cp:lastModifiedBy>
  <cp:revision>1</cp:revision>
  <dcterms:created xsi:type="dcterms:W3CDTF">2017-11-01T13:32:00Z</dcterms:created>
  <dcterms:modified xsi:type="dcterms:W3CDTF">2017-11-01T13:33:00Z</dcterms:modified>
</cp:coreProperties>
</file>